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65AD" w14:textId="77777777" w:rsidR="00B75F4F" w:rsidRDefault="00334EB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43874A4F" wp14:editId="57E1DC70">
            <wp:simplePos x="0" y="0"/>
            <wp:positionH relativeFrom="margin">
              <wp:posOffset>0</wp:posOffset>
            </wp:positionH>
            <wp:positionV relativeFrom="margin">
              <wp:posOffset>-485775</wp:posOffset>
            </wp:positionV>
            <wp:extent cx="476250" cy="560070"/>
            <wp:effectExtent l="0" t="0" r="0" b="0"/>
            <wp:wrapSquare wrapText="bothSides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75F4F" w14:paraId="03FCCC29" w14:textId="77777777">
        <w:trPr>
          <w:trHeight w:val="1694"/>
        </w:trPr>
        <w:tc>
          <w:tcPr>
            <w:tcW w:w="6379" w:type="dxa"/>
          </w:tcPr>
          <w:p w14:paraId="09AB7BBD" w14:textId="77777777" w:rsidR="00B75F4F" w:rsidRDefault="00334EB2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 GLAZBENA ŠKOLA PAVLA MARKOVCA ZAGREB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Trg Žrtava Fašizma 9, 10000 Zagreb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602-03/25-01/14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251-336-25-39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Zagreb, 28.05.2025.  </w:t>
            </w:r>
          </w:p>
        </w:tc>
        <w:tc>
          <w:tcPr>
            <w:tcW w:w="2693" w:type="dxa"/>
          </w:tcPr>
          <w:p w14:paraId="12B6A5A1" w14:textId="77777777" w:rsidR="00B75F4F" w:rsidRDefault="00334EB2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AEEFFFA" wp14:editId="7DDEECE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430FCFD" w14:textId="77777777" w:rsidR="00B75F4F" w:rsidRDefault="00B75F4F">
      <w:pPr>
        <w:spacing w:after="0" w:line="276" w:lineRule="auto"/>
        <w:jc w:val="center"/>
        <w:rPr>
          <w:rFonts w:asciiTheme="majorBidi" w:eastAsia="Times New Roman" w:hAnsiTheme="majorBidi" w:cstheme="majorBidi"/>
          <w:bCs/>
          <w:szCs w:val="24"/>
        </w:rPr>
      </w:pPr>
    </w:p>
    <w:p w14:paraId="36664350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temelju članka 126. i članka 127. Zakona o odgoju i obrazovanju u osnovnoj i srednjoj školi (Narodne novine, broj: 87/08., 86/09., 92/10., 105/10., 90/11., 16/12., 86/12., 126/12.-pročišćeni tekst, 94/13, 152/14., 7/17., 68/18., 98/19., 64/20., 151/22., 156/23.), i </w:t>
      </w:r>
      <w:r>
        <w:rPr>
          <w:rFonts w:ascii="Times New Roman" w:hAnsi="Times New Roman" w:cs="Times New Roman"/>
          <w:color w:val="auto"/>
          <w:szCs w:val="24"/>
        </w:rPr>
        <w:t xml:space="preserve">članka 56. </w:t>
      </w:r>
      <w:r>
        <w:rPr>
          <w:rFonts w:ascii="Times New Roman" w:hAnsi="Times New Roman" w:cs="Times New Roman"/>
          <w:szCs w:val="24"/>
        </w:rPr>
        <w:t>Statuta Glazbene škole Pavla Markovca, Školski odbor Glazbene škole Pavla Markovca, Trg žrtava fašizma 9, Zagreb, raspisuje</w:t>
      </w:r>
    </w:p>
    <w:p w14:paraId="0C311FE5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53A140C6" w14:textId="77777777" w:rsidR="00B75F4F" w:rsidRDefault="00334EB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NATJEČAJ ZA IZBOR I IMENOVANJE RAVNATELJA/ICE</w:t>
      </w:r>
    </w:p>
    <w:p w14:paraId="6C3EC8B0" w14:textId="77777777" w:rsidR="00B75F4F" w:rsidRDefault="00334EB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GLAZBENE ŠKOLE PAVLA MARKOVCA</w:t>
      </w:r>
    </w:p>
    <w:p w14:paraId="3FA60332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5ED5675C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ravnatelja/icu može biti imenovana osoba koja ispunjava nužne uvjete u skladu sa člankom 126. stavak 1. Zakona o odgoju i obrazovanju u osnovnoj i srednjoj školi:</w:t>
      </w:r>
    </w:p>
    <w:p w14:paraId="3BEB183A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450D40D0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završen studij odgovarajuće vrste za rad na radnom mjestu učitelja, nastavnika ili stručnog suradnika u školskoj ustanovi u kojoj se imenuje za ravnatelja, a koji može biti:</w:t>
      </w:r>
    </w:p>
    <w:p w14:paraId="287C39F0" w14:textId="77777777" w:rsidR="00B75F4F" w:rsidRDefault="00334E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ili</w:t>
      </w:r>
    </w:p>
    <w:p w14:paraId="40C785E0" w14:textId="77777777" w:rsidR="00B75F4F" w:rsidRDefault="00334E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integrirani preddiplomski i diplomski sveučilišni studij ili</w:t>
      </w:r>
    </w:p>
    <w:p w14:paraId="4167CC79" w14:textId="77777777" w:rsidR="00B75F4F" w:rsidRDefault="00334E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461C1F97" w14:textId="77777777" w:rsidR="00B75F4F" w:rsidRDefault="00334E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stručni ispit za učitelja, nastavnika ili stručnog suradnika, izuzev u slučaju iz članka 157. stavaka 1. i 2. Zakona o odgoju i obrazovanju u osnovnoj i srednjoj školi</w:t>
      </w:r>
    </w:p>
    <w:p w14:paraId="3FF4B155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2943DCAD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2)</w:t>
      </w:r>
      <w:r>
        <w:rPr>
          <w:rFonts w:ascii="Times New Roman" w:hAnsi="Times New Roman" w:cs="Times New Roman"/>
          <w:szCs w:val="24"/>
        </w:rPr>
        <w:t xml:space="preserve"> uvjete propisane člankom 106. Zakona o odgoju i obrazovanju u osnovnoj i srednjoj školi i uvjete propisane člankom 39. Zakona o ustanovama</w:t>
      </w:r>
    </w:p>
    <w:p w14:paraId="2B75A7AC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5BAE4E9E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3)</w:t>
      </w:r>
      <w:r>
        <w:rPr>
          <w:rFonts w:ascii="Times New Roman" w:hAnsi="Times New Roman" w:cs="Times New Roman"/>
          <w:szCs w:val="24"/>
        </w:rPr>
        <w:t xml:space="preserve"> najmanje 8 godina radnog iskustva u školskim ili drugim ustanovama u sustavu obrazovanja ili u tijelima državne uprave nadležnim za obrazovanje, od čega najmanje 5 godina na odgojno-obrazovnim poslovima u školskim ustanovama.</w:t>
      </w:r>
    </w:p>
    <w:p w14:paraId="490AFB22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Sukladno članku 127. stavak 7. Zakona o odgoju i obrazovanju u osnovnoj i srednjoj školi </w:t>
      </w:r>
    </w:p>
    <w:p w14:paraId="45512B3B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dodatne kompetencije za imenovanje ravnatelja/ice su koje se vrednuju su: poznavanje stranog jezika, osnovne digitalne vještine i iskustvo rada na projektima.</w:t>
      </w:r>
    </w:p>
    <w:p w14:paraId="55F45524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Ravnatelj se imenuje na pet (5) godina.</w:t>
      </w:r>
    </w:p>
    <w:p w14:paraId="197336B3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740624BA" w14:textId="77777777" w:rsidR="00B75F4F" w:rsidRDefault="00334EB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 pisanu prijavu na natječaj, kandidat je obvezan priložiti u izvorniku ili ovjerenoj preslici sljedeću dokumentaciju:</w:t>
      </w:r>
    </w:p>
    <w:p w14:paraId="2ABBDA26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vlastoručno potpisan životopis</w:t>
      </w:r>
    </w:p>
    <w:p w14:paraId="03ACB0E9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diplomu, odnosno dokaz o stečenoj stručnoj spremi</w:t>
      </w:r>
    </w:p>
    <w:p w14:paraId="130B8A9A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3CD0F303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položenom stručnom ispitu, odnosno dokaz da je osoba oslobođena obveze polaganja stručnog ispita</w:t>
      </w:r>
    </w:p>
    <w:p w14:paraId="3707955A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(potvrda ili elektronički zapis HZMO–a)</w:t>
      </w:r>
    </w:p>
    <w:p w14:paraId="38F980AD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na odgojno-obrazovnim poslovima u školskoj ustanovi (potvrda školske ili druge ustanove iz sustava obrazovanja o vrsti i trajanju poslova)</w:t>
      </w:r>
    </w:p>
    <w:p w14:paraId="56CA44AA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 glede zapreke za zasnivanje radnog odnosa iz članka 106. Zakona o odgoju i obrazovanju u osnovnoj i srednjoj školi (ne starije od dana objavljivanja natječaja)</w:t>
      </w:r>
    </w:p>
    <w:p w14:paraId="28B9031A" w14:textId="77777777" w:rsidR="00B75F4F" w:rsidRDefault="00334E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 kandidat je uz potrebnu dokumentaciju dužan dostaviti program rada za mandatno razdoblje</w:t>
      </w:r>
    </w:p>
    <w:p w14:paraId="5CB8D203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95DA790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Dokaz o ispunjavanju dodatnih kompetencija, ako ih kandidat ima, dostavljaju se u izvorniku ili ovjerenoj preslici, a dokazuju se na sljedeći način:</w:t>
      </w:r>
    </w:p>
    <w:p w14:paraId="58F21D6C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B5F9778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Poznavanje stranog jezika:</w:t>
      </w:r>
    </w:p>
    <w:p w14:paraId="7D42AB42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javnom ispravom, odnosno potvrdom srednjoškolske ili visokoškolske ustanove,</w:t>
      </w:r>
    </w:p>
    <w:p w14:paraId="01B10CEC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potvrdom ili drugom ispravom osobe ovlaštene za provođenje edukacije stranih jezika,</w:t>
      </w:r>
    </w:p>
    <w:p w14:paraId="00497CA6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potvrdom ili drugom ispravom ovlaštene fizičke ili pravne osobe o izvršenom testiranju znanja stranog jezika</w:t>
      </w:r>
    </w:p>
    <w:p w14:paraId="1E3FA7A7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drugom ispravom</w:t>
      </w:r>
    </w:p>
    <w:p w14:paraId="0B0F76C0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B4B5919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Osnovne digitalne vještine:</w:t>
      </w:r>
    </w:p>
    <w:p w14:paraId="44A5FA82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javnom ispravom, odnosno potvrdom srednjoškolske ili visokoškolske ustanove,</w:t>
      </w:r>
    </w:p>
    <w:p w14:paraId="2E8832C1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potvrdom ili drugom ispravom ovlaštene fizičke ili pravne osobe za edukaciju u području informacijskih znanosti,</w:t>
      </w:r>
    </w:p>
    <w:p w14:paraId="3A0FF4AC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potvrdom ili drugom ispravom ovlaštene fizičke ili pravne osobe o izvršenom testiranju poznavanja digitalnih vještina</w:t>
      </w:r>
    </w:p>
    <w:p w14:paraId="112A4D2B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drugom ispravom,</w:t>
      </w:r>
    </w:p>
    <w:p w14:paraId="1EDF2691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1D74823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Iskustvo rada na projektima:</w:t>
      </w:r>
    </w:p>
    <w:p w14:paraId="6AF76125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dokazuje se potvrdom ili ispravom o sudjelovanju u pripremi i provedbi pojedinih projekata</w:t>
      </w:r>
    </w:p>
    <w:p w14:paraId="2F56C101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osobnom izjavom kandidata u životopisu.</w:t>
      </w:r>
    </w:p>
    <w:p w14:paraId="2E3700E1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299673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Kandidat koji se poziva na pravo prednost pri zapošljavanju sukladno članku 102. Zakona o hrvatskim braniteljima iz Domovinskog rata i članovima njihovih obitelji (»Narodne novine« broj 121/17, 98/19, 84/21, 156/23.), članku 48.f Zakona o zaštiti vojnih i civilnih invalida rata (»Narodne novine« broj 33/92, 77/92, 27/93, 58/93, 2/94, 76/94, 108/95, 108/96, 82/01, 103/03, 148/13, 98/19.), članku 9. Zakona o profesionalnoj rehabilitaciji i zapošljavanju</w:t>
      </w:r>
    </w:p>
    <w:p w14:paraId="497D8408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osoba s invaliditetom (»Narodne novine« broj 157/13, 152/14, 39/18, 32/20.) i članku 48. Zakona o civilnim stradalnicima iz Domovinskog rata (»Narodne novine« broj 84/21.), dužan je u prijavi na natječaj dostaviti svu potrebnu dokumentaciju i dokaze prema posebnom zakonu, a ostvaruje prednost u odnosu na ostale kandidate samo pod jednakim uvjetima.</w:t>
      </w:r>
    </w:p>
    <w:p w14:paraId="6F3F00F8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Kandidat koji se poziva na pravo prednosti pri zapošljavanju u skladu s člankom 102. Zakona o hrvatskim braniteljima iz Domovinskog rata i članovima njihovih obitelji (»Narodne novine« broj 121/17, 98/19, 84/21, 156/23.) uz prijavu na natječaj dužan je priložiti i dokaze propisane člankom 103. stavak 1. Zakona o hrvatskim braniteljima iz Domovinskog rata i članovima njihovih obitelji (»Narodne novine« broj 121/17, 98/19, 84/21, 156/23.).</w:t>
      </w:r>
    </w:p>
    <w:p w14:paraId="5F1510AB" w14:textId="076C770A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Poveznica na internetsku stranicu Ministarstva hrvatskih branitelja: </w:t>
      </w:r>
      <w:hyperlink r:id="rId7" w:history="1">
        <w:r w:rsidR="00556989" w:rsidRPr="00563C79">
          <w:rPr>
            <w:rStyle w:val="Hyperlink"/>
            <w:rFonts w:ascii="Times New Roman" w:hAnsi="Times New Roman" w:cs="Times New Roman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72842C9" w14:textId="77777777" w:rsidR="00556989" w:rsidRDefault="00556989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62D6396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Kandidat koji se poziva na pravo prednosti pri zapošljavanju u skladu s člankom 48. Zakona o civilnim stradalnicima iz Domovinskog rata (»Narodne novine« broj 84/21.) uz prijavu na natječaj dužan je priložiti i dokaze propisane člankom 49. stavak 1. Zakona o civilnim stradalnicima iz Domovinskog rata (Narodne novine, broj 84/21.).</w:t>
      </w:r>
    </w:p>
    <w:p w14:paraId="565247CF" w14:textId="1925BD74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Poveznica na internetsku stranicu Ministarstva hrvatskih branitelja: </w:t>
      </w:r>
      <w:hyperlink r:id="rId8" w:history="1">
        <w:r w:rsidR="00C67BFE" w:rsidRPr="00563C79">
          <w:rPr>
            <w:rStyle w:val="Hyperlink"/>
            <w:rFonts w:ascii="Times New Roman" w:hAnsi="Times New Roman" w:cs="Times New Roman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2342FBD" w14:textId="77777777" w:rsidR="00C67BFE" w:rsidRDefault="00C67BFE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D99B3A1" w14:textId="77777777" w:rsidR="00B75F4F" w:rsidRDefault="00B75F4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C8D02BF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Rok za podnošenje prijava kandidata je osam (8) dana od dana objave natječaja u „Narodnim novinama“ i na mrežnim stranicama Glazbene škole Pavla Markovca.</w:t>
      </w:r>
    </w:p>
    <w:p w14:paraId="48AF62BB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Urednom prijavom smatra se prijava koja sadrži sve podatke i priloge navedene u natječaju.</w:t>
      </w:r>
    </w:p>
    <w:p w14:paraId="0B6B77D4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Nepotpune i nepravovremene prijave neće se razmatrati.</w:t>
      </w:r>
    </w:p>
    <w:p w14:paraId="34E0B5F7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koja nije podnijela pravodobnu i urednu prijavu ili ne ispunjava formalne uvjete natječaja ne smatra se kandidatom.</w:t>
      </w:r>
    </w:p>
    <w:p w14:paraId="2BB1962E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natječaj se mogu javiti osobe oba spola.</w:t>
      </w:r>
    </w:p>
    <w:p w14:paraId="56DB2732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rezultatima natječaja kandidati će biti obaviješteni u roku od četrdeset i pet (45) dana od dana isteka roka za podnošenje prijava.</w:t>
      </w:r>
    </w:p>
    <w:p w14:paraId="307B83C1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Prijave na natječaj s potrebnom dokumentacijom dostaviti na adresu:</w:t>
      </w:r>
    </w:p>
    <w:p w14:paraId="0D7A4DBF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Glazbena škola Pavla Markovca, Trg žrtava fašizma 9, 10000 Zagrebu zatvorenoj omotnici, s naznakom (Za natječaj za imenovanje ravnatelja-ne otvarati)</w:t>
      </w:r>
    </w:p>
    <w:p w14:paraId="28054891" w14:textId="77777777" w:rsidR="00B75F4F" w:rsidRDefault="00334EB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Prijavom na natječaj kandidati daju privolu Glazbenoj školi Pavla Markovca za obradu osobnih podataka u skladu s propisima kojima je propisana zaštita osobnih podataka u svrhu provedbe natječajnog postupka i rezultata natječaja.</w:t>
      </w:r>
    </w:p>
    <w:p w14:paraId="6DBDB4A5" w14:textId="77777777" w:rsidR="00B75F4F" w:rsidRDefault="00B75F4F">
      <w:pPr>
        <w:spacing w:after="0"/>
        <w:rPr>
          <w:rFonts w:ascii="Times New Roman" w:hAnsi="Times New Roman" w:cs="Times New Roman"/>
          <w:szCs w:val="24"/>
        </w:rPr>
      </w:pPr>
    </w:p>
    <w:p w14:paraId="21C81335" w14:textId="77777777" w:rsidR="00B75F4F" w:rsidRDefault="00334EB2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Predsjednica Školskog odbora:</w:t>
      </w:r>
    </w:p>
    <w:p w14:paraId="13959613" w14:textId="77777777" w:rsidR="00B75F4F" w:rsidRDefault="00334EB2">
      <w:pPr>
        <w:spacing w:after="0"/>
        <w:ind w:left="5664" w:firstLine="70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</w:t>
      </w:r>
    </w:p>
    <w:p w14:paraId="6CAB04C2" w14:textId="77777777" w:rsidR="00B75F4F" w:rsidRDefault="00334EB2">
      <w:pPr>
        <w:spacing w:after="0"/>
        <w:ind w:left="5664" w:firstLine="70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Alma Seder, prof.</w:t>
      </w:r>
    </w:p>
    <w:p w14:paraId="77E2669B" w14:textId="77777777" w:rsidR="00B75F4F" w:rsidRDefault="00B75F4F">
      <w:pPr>
        <w:spacing w:after="0" w:line="276" w:lineRule="auto"/>
        <w:jc w:val="center"/>
        <w:rPr>
          <w:rFonts w:ascii="Times New Roman" w:hAnsi="Times New Roman" w:cs="Times New Roman"/>
          <w:color w:val="1F1F1F"/>
          <w:szCs w:val="24"/>
          <w:shd w:val="clear" w:color="auto" w:fill="FFFFFF"/>
        </w:rPr>
      </w:pPr>
    </w:p>
    <w:sectPr w:rsidR="00B7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9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B4F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7EE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40BD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33DD1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8875">
    <w:abstractNumId w:val="0"/>
  </w:num>
  <w:num w:numId="2" w16cid:durableId="1602689152">
    <w:abstractNumId w:val="1"/>
  </w:num>
  <w:num w:numId="3" w16cid:durableId="1892573745">
    <w:abstractNumId w:val="2"/>
  </w:num>
  <w:num w:numId="4" w16cid:durableId="1705250363">
    <w:abstractNumId w:val="3"/>
  </w:num>
  <w:num w:numId="5" w16cid:durableId="183372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4F"/>
    <w:rsid w:val="0010022F"/>
    <w:rsid w:val="00334EB2"/>
    <w:rsid w:val="00556989"/>
    <w:rsid w:val="00B75F4F"/>
    <w:rsid w:val="00C6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095D90"/>
  <w15:docId w15:val="{C5CE6F2C-1E97-6941-9A34-AFBDCBB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pPr>
      <w:spacing w:after="120" w:line="240" w:lineRule="auto"/>
      <w:ind w:left="0"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32"/>
      <w:lang w:eastAsia="en-US" w:bidi="bo-CN"/>
    </w:rPr>
  </w:style>
  <w:style w:type="character" w:styleId="Hyperlink">
    <w:name w:val="Hyperlink"/>
    <w:basedOn w:val="DefaultParagraphFont"/>
    <w:uiPriority w:val="99"/>
    <w:unhideWhenUsed/>
    <w:rsid w:val="00C67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Zrinka Majstorovic</cp:lastModifiedBy>
  <cp:revision>2</cp:revision>
  <dcterms:created xsi:type="dcterms:W3CDTF">2025-07-17T13:28:00Z</dcterms:created>
  <dcterms:modified xsi:type="dcterms:W3CDTF">2025-07-17T13:28:00Z</dcterms:modified>
</cp:coreProperties>
</file>